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C273B9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bookmarkStart w:id="35" w:name="_GoBack"/>
      <w:bookmarkEnd w:id="35"/>
      <w:bookmarkStart w:id="0" w:name="_Toc480276986"/>
      <w:bookmarkStart w:id="1" w:name="_Toc12810"/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学法考试平台系统</w:t>
      </w:r>
    </w:p>
    <w:p w14:paraId="58472C5B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0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普法办管理平台</w:t>
      </w:r>
      <w:bookmarkEnd w:id="0"/>
      <w:r>
        <w:rPr>
          <w:rFonts w:hint="eastAsia" w:ascii="微软雅黑" w:hAnsi="微软雅黑" w:eastAsia="微软雅黑" w:cs="微软雅黑"/>
          <w:b/>
          <w:bCs/>
          <w:sz w:val="40"/>
          <w:szCs w:val="40"/>
        </w:rPr>
        <w:t>操作手册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P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C端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  <w:lang w:eastAsia="zh-CN"/>
        </w:rPr>
        <w:t>）</w:t>
      </w:r>
    </w:p>
    <w:bookmarkEnd w:id="1"/>
    <w:p w14:paraId="42CD4334">
      <w:pPr>
        <w:pStyle w:val="25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/>
        <w:jc w:val="center"/>
        <w:textAlignment w:val="auto"/>
        <w:rPr>
          <w:rFonts w:hint="eastAsia" w:ascii="微软雅黑" w:hAnsi="微软雅黑" w:eastAsia="微软雅黑" w:cs="微软雅黑"/>
        </w:rPr>
      </w:pPr>
      <w:bookmarkStart w:id="2" w:name="_Toc20754"/>
      <w:r>
        <w:rPr>
          <w:rFonts w:hint="eastAsia" w:ascii="微软雅黑" w:hAnsi="微软雅黑" w:eastAsia="微软雅黑" w:cs="微软雅黑"/>
          <w:color w:val="auto"/>
          <w:sz w:val="36"/>
          <w:szCs w:val="36"/>
          <w:lang w:val="zh-CN"/>
        </w:rPr>
        <w:t>目录</w:t>
      </w:r>
      <w:bookmarkEnd w:id="2"/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TOC \o "1-3" \h \z \u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</w:p>
    <w:p w14:paraId="28BF6AE8"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_Toc13151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40"/>
        </w:rPr>
        <w:t>一、登录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2"/>
        </w:rPr>
        <w:instrText xml:space="preserve"> PAGEREF _Toc13151 </w:instrTex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2</w: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7F1EA078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_Toc28126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1、登录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2"/>
        </w:rPr>
        <w:instrText xml:space="preserve"> PAGEREF _Toc28126 </w:instrTex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2</w: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3D8E8902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_Toc20893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2、主页面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2"/>
        </w:rPr>
        <w:instrText xml:space="preserve"> PAGEREF _Toc20893 </w:instrTex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2</w: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579047E0"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_Toc1630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40"/>
        </w:rPr>
        <w:t>二、系统管理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2"/>
        </w:rPr>
        <w:instrText xml:space="preserve"> PAGEREF _Toc1630 </w:instrTex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3</w: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471319F9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_Toc15115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1、本单位信息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2"/>
        </w:rPr>
        <w:instrText xml:space="preserve"> PAGEREF _Toc15115 </w:instrTex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3</w:t>
      </w:r>
      <w:r>
        <w:rPr>
          <w:rFonts w:hint="eastAsia" w:ascii="微软雅黑" w:hAnsi="微软雅黑" w:eastAsia="微软雅黑" w:cs="微软雅黑"/>
          <w:sz w:val="24"/>
          <w:szCs w:val="32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03C1AE3E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_Toc2916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24"/>
          <w:szCs w:val="32"/>
        </w:rPr>
        <w:t>下属普法办管理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6B91B153"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_Toc22954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40"/>
        </w:rPr>
        <w:t>三、统计报表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215290C2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_Toc20887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1、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个人学考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5144749C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_Toc8067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2、考试情况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24371BF8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6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_Toc15061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32"/>
        </w:rPr>
        <w:t>、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人数统计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48456D5D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_Toc15061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32"/>
        </w:rPr>
        <w:t>、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成绩下载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1E80BF6F"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_Toc10002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40"/>
        </w:rPr>
        <w:t>四、考试排名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5881F64E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_Toc32628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32"/>
        </w:rPr>
        <w:t>、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全省排名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6"/>
          <w:lang w:val="en-US" w:eastAsia="zh-CN"/>
        </w:rPr>
        <w:t>5</w:t>
      </w:r>
    </w:p>
    <w:p w14:paraId="2ABB87E0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_Toc22513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32"/>
        </w:rPr>
        <w:t>、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地市排名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7F02EC1D"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_Toc16063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40"/>
        </w:rPr>
        <w:t>五、通知管理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5D8415D2">
      <w:pPr>
        <w:pStyle w:val="11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_Toc12830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kern w:val="2"/>
          <w:sz w:val="24"/>
          <w:szCs w:val="40"/>
          <w:lang w:val="en-US" w:eastAsia="zh-CN" w:bidi="ar-SA"/>
        </w:rPr>
        <w:t>六、学法单位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31D1D8A5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_Toc23258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1、学法单位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管理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52A7F8AC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_Toc32766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</w:rPr>
        <w:t>2、学法单位查询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6500E6B1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_Toc2103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24"/>
          <w:szCs w:val="32"/>
        </w:rPr>
        <w:t>、学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员管理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7CF2C104">
      <w:pPr>
        <w:pStyle w:val="6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6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36"/>
        </w:rPr>
        <w:instrText xml:space="preserve"> HYPERLINK \l _Toc18322 </w:instrTex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24"/>
          <w:szCs w:val="32"/>
        </w:rPr>
        <w:t>、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个人学考记录</w:t>
      </w:r>
      <w:r>
        <w:rPr>
          <w:rFonts w:hint="eastAsia" w:ascii="微软雅黑" w:hAnsi="微软雅黑" w:eastAsia="微软雅黑" w:cs="微软雅黑"/>
          <w:sz w:val="24"/>
          <w:szCs w:val="32"/>
        </w:rPr>
        <w:tab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24"/>
          <w:szCs w:val="36"/>
        </w:rPr>
        <w:fldChar w:fldCharType="end"/>
      </w:r>
    </w:p>
    <w:p w14:paraId="6872B57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8"/>
        </w:rPr>
        <w:fldChar w:fldCharType="end"/>
      </w:r>
      <w:r>
        <w:rPr>
          <w:rFonts w:hint="eastAsia" w:ascii="微软雅黑" w:hAnsi="微软雅黑" w:eastAsia="微软雅黑" w:cs="微软雅黑"/>
        </w:rPr>
        <w:br w:type="page"/>
      </w:r>
      <w:bookmarkStart w:id="3" w:name="_Toc480276987"/>
      <w:bookmarkStart w:id="4" w:name="_Toc13151"/>
      <w:r>
        <w:rPr>
          <w:rFonts w:hint="eastAsia" w:ascii="微软雅黑" w:hAnsi="微软雅黑" w:eastAsia="微软雅黑" w:cs="微软雅黑"/>
          <w:sz w:val="32"/>
          <w:szCs w:val="32"/>
        </w:rPr>
        <w:t>一、登录</w:t>
      </w:r>
      <w:bookmarkEnd w:id="3"/>
      <w:bookmarkEnd w:id="4"/>
      <w:bookmarkStart w:id="5" w:name="_Toc480276988"/>
    </w:p>
    <w:p w14:paraId="4A2EF8D6">
      <w:pPr>
        <w:pStyle w:val="4"/>
        <w:ind w:firstLine="420" w:firstLineChars="0"/>
        <w:rPr>
          <w:rFonts w:hint="eastAsia" w:ascii="微软雅黑" w:hAnsi="微软雅黑" w:eastAsia="微软雅黑" w:cs="微软雅黑"/>
        </w:rPr>
      </w:pPr>
      <w:bookmarkStart w:id="6" w:name="_Toc28126"/>
      <w:r>
        <w:rPr>
          <w:rFonts w:hint="eastAsia" w:ascii="微软雅黑" w:hAnsi="微软雅黑" w:eastAsia="微软雅黑" w:cs="微软雅黑"/>
        </w:rPr>
        <w:t>1、登录</w:t>
      </w:r>
      <w:bookmarkEnd w:id="5"/>
      <w:bookmarkEnd w:id="6"/>
      <w:bookmarkStart w:id="7" w:name="_Toc480276989"/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打开平台页面，选择普法办管理员，输入用户名、密码、验证码，点击登录，进入平台。</w:t>
      </w:r>
      <w:bookmarkEnd w:id="7"/>
    </w:p>
    <w:p w14:paraId="2136918B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3100070"/>
            <wp:effectExtent l="0" t="0" r="9525" b="5080"/>
            <wp:docPr id="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8"/>
                    <pic:cNvPicPr>
                      <a:picLocks noChangeAspect="1"/>
                    </pic:cNvPicPr>
                  </pic:nvPicPr>
                  <pic:blipFill>
                    <a:blip r:embed="rId4"/>
                    <a:srcRect t="15240" b="136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AC7F0">
      <w:pPr>
        <w:pStyle w:val="4"/>
        <w:ind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bookmarkStart w:id="8" w:name="_Toc20893"/>
      <w:r>
        <w:rPr>
          <w:rFonts w:hint="eastAsia" w:ascii="微软雅黑" w:hAnsi="微软雅黑" w:eastAsia="微软雅黑" w:cs="微软雅黑"/>
        </w:rPr>
        <w:t>2、主页面</w:t>
      </w:r>
      <w:bookmarkEnd w:id="8"/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  <w:lang w:val="en-US" w:eastAsia="zh-CN"/>
        </w:rPr>
        <w:t>首次</w:t>
      </w:r>
      <w:r>
        <w:rPr>
          <w:rFonts w:hint="eastAsia" w:ascii="微软雅黑" w:hAnsi="微软雅黑" w:eastAsia="微软雅黑" w:cs="微软雅黑"/>
        </w:rPr>
        <w:t>登陆</w:t>
      </w:r>
      <w:r>
        <w:rPr>
          <w:rFonts w:hint="eastAsia" w:ascii="微软雅黑" w:hAnsi="微软雅黑" w:eastAsia="微软雅黑" w:cs="微软雅黑"/>
          <w:lang w:val="en-US" w:eastAsia="zh-CN"/>
        </w:rPr>
        <w:t>或重置密码后需修改密码方可登录</w:t>
      </w:r>
      <w:r>
        <w:rPr>
          <w:rFonts w:hint="eastAsia" w:ascii="微软雅黑" w:hAnsi="微软雅黑" w:eastAsia="微软雅黑" w:cs="微软雅黑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请删除旧密码或初始密码，手动输入旧密码或初始密码；新密码输入两次相同密码点击提交。</w:t>
      </w:r>
      <w:r>
        <w:rPr>
          <w:rFonts w:hint="eastAsia" w:ascii="微软雅黑" w:hAnsi="微软雅黑" w:eastAsia="微软雅黑" w:cs="微软雅黑"/>
          <w:lang w:val="en-US" w:eastAsia="zh-CN"/>
        </w:rPr>
        <w:t>如下图所示：</w:t>
      </w:r>
    </w:p>
    <w:p w14:paraId="326085F1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inline distT="0" distB="0" distL="114300" distR="114300">
            <wp:extent cx="5265420" cy="2969895"/>
            <wp:effectExtent l="0" t="0" r="11430" b="1905"/>
            <wp:docPr id="2" name="图片 53" descr="04d5c420a96e8de5fc7393106bae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3" descr="04d5c420a96e8de5fc7393106bae3a0"/>
                    <pic:cNvPicPr>
                      <a:picLocks noChangeAspect="1"/>
                    </pic:cNvPicPr>
                  </pic:nvPicPr>
                  <pic:blipFill>
                    <a:blip r:embed="rId5"/>
                    <a:srcRect t="10042" b="726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F650">
      <w:pPr>
        <w:pStyle w:val="23"/>
        <w:spacing w:line="220" w:lineRule="atLeast"/>
        <w:ind w:left="0" w:leftChars="0" w:firstLine="0" w:firstLineChars="0"/>
        <w:jc w:val="left"/>
        <w:rPr>
          <w:rFonts w:hint="eastAsia" w:ascii="微软雅黑" w:hAnsi="微软雅黑" w:eastAsia="微软雅黑" w:cs="微软雅黑"/>
          <w:lang w:eastAsia="zh-CN"/>
        </w:rPr>
      </w:pPr>
    </w:p>
    <w:p w14:paraId="02FF589A">
      <w:pPr>
        <w:pStyle w:val="3"/>
        <w:rPr>
          <w:rFonts w:hint="eastAsia" w:ascii="微软雅黑" w:hAnsi="微软雅黑" w:eastAsia="微软雅黑" w:cs="微软雅黑"/>
          <w:sz w:val="32"/>
          <w:szCs w:val="32"/>
        </w:rPr>
      </w:pPr>
      <w:bookmarkStart w:id="9" w:name="_Toc480276991"/>
      <w:bookmarkStart w:id="10" w:name="_Toc1630"/>
      <w:bookmarkStart w:id="11" w:name="_Toc480276992"/>
      <w:r>
        <w:rPr>
          <w:rFonts w:hint="eastAsia" w:ascii="微软雅黑" w:hAnsi="微软雅黑" w:eastAsia="微软雅黑" w:cs="微软雅黑"/>
          <w:sz w:val="32"/>
          <w:szCs w:val="32"/>
        </w:rPr>
        <w:t>二、系统管理</w:t>
      </w:r>
      <w:bookmarkEnd w:id="9"/>
      <w:bookmarkEnd w:id="10"/>
    </w:p>
    <w:p w14:paraId="6059D8BC">
      <w:pPr>
        <w:pStyle w:val="4"/>
        <w:ind w:firstLine="420" w:firstLineChars="0"/>
        <w:rPr>
          <w:rFonts w:hint="eastAsia" w:ascii="微软雅黑" w:hAnsi="微软雅黑" w:eastAsia="微软雅黑" w:cs="微软雅黑"/>
        </w:rPr>
      </w:pPr>
      <w:bookmarkStart w:id="12" w:name="_Toc15115"/>
      <w:r>
        <w:rPr>
          <w:rFonts w:hint="eastAsia" w:ascii="微软雅黑" w:hAnsi="微软雅黑" w:eastAsia="微软雅黑" w:cs="微软雅黑"/>
        </w:rPr>
        <w:t>1、本单位信息</w:t>
      </w:r>
      <w:bookmarkEnd w:id="11"/>
      <w:bookmarkEnd w:id="12"/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进入系统平台后，选择“系统管理”功能导航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</w:rPr>
        <w:t>展开子菜单，点击“本单位信息”。</w:t>
      </w:r>
      <w:r>
        <w:rPr>
          <w:rFonts w:hint="eastAsia" w:ascii="微软雅黑" w:hAnsi="微软雅黑" w:eastAsia="微软雅黑" w:cs="微软雅黑"/>
          <w:lang w:eastAsia="zh-CN"/>
        </w:rPr>
        <w:t>其中</w:t>
      </w:r>
      <w:r>
        <w:rPr>
          <w:rFonts w:hint="eastAsia" w:ascii="微软雅黑" w:hAnsi="微软雅黑" w:eastAsia="微软雅黑" w:cs="微软雅黑"/>
        </w:rPr>
        <w:t>对单位联系方式进行修改</w:t>
      </w:r>
      <w:r>
        <w:rPr>
          <w:rFonts w:hint="eastAsia" w:ascii="微软雅黑" w:hAnsi="微软雅黑" w:eastAsia="微软雅黑" w:cs="微软雅黑"/>
          <w:lang w:eastAsia="zh-CN"/>
        </w:rPr>
        <w:t>，单位名称</w:t>
      </w:r>
      <w:r>
        <w:rPr>
          <w:rFonts w:hint="eastAsia" w:ascii="微软雅黑" w:hAnsi="微软雅黑" w:eastAsia="微软雅黑" w:cs="微软雅黑"/>
          <w:lang w:val="en-US" w:eastAsia="zh-CN"/>
        </w:rPr>
        <w:t>请勿</w:t>
      </w:r>
      <w:r>
        <w:rPr>
          <w:rFonts w:hint="eastAsia" w:ascii="微软雅黑" w:hAnsi="微软雅黑" w:eastAsia="微软雅黑" w:cs="微软雅黑"/>
          <w:lang w:eastAsia="zh-CN"/>
        </w:rPr>
        <w:t>修改，</w:t>
      </w:r>
      <w:r>
        <w:rPr>
          <w:rFonts w:hint="eastAsia" w:ascii="微软雅黑" w:hAnsi="微软雅黑" w:eastAsia="微软雅黑" w:cs="微软雅黑"/>
        </w:rPr>
        <w:t>如下图所示：</w:t>
      </w:r>
    </w:p>
    <w:p w14:paraId="1216DDC1">
      <w:pPr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1769745"/>
            <wp:effectExtent l="0" t="0" r="17780" b="1905"/>
            <wp:docPr id="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27BE">
      <w:pPr>
        <w:pStyle w:val="4"/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</w:rPr>
      </w:pPr>
      <w:bookmarkStart w:id="13" w:name="_Toc2916"/>
      <w:bookmarkStart w:id="14" w:name="_Toc480276993"/>
      <w:r>
        <w:rPr>
          <w:rFonts w:hint="eastAsia" w:ascii="微软雅黑" w:hAnsi="微软雅黑" w:eastAsia="微软雅黑" w:cs="微软雅黑"/>
          <w:lang w:val="en-US" w:eastAsia="zh-CN"/>
        </w:rPr>
        <w:t>2、</w:t>
      </w:r>
      <w:r>
        <w:rPr>
          <w:rFonts w:hint="eastAsia" w:ascii="微软雅黑" w:hAnsi="微软雅黑" w:eastAsia="微软雅黑" w:cs="微软雅黑"/>
        </w:rPr>
        <w:t>下属普法办管理</w:t>
      </w:r>
      <w:bookmarkEnd w:id="13"/>
      <w:bookmarkEnd w:id="14"/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在子菜单中点击“下属普法办管理”，如下图：</w:t>
      </w:r>
    </w:p>
    <w:p w14:paraId="220420F1">
      <w:pPr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269865" cy="3289300"/>
            <wp:effectExtent l="0" t="0" r="6985" b="6350"/>
            <wp:docPr id="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A5BF3">
      <w:pPr>
        <w:ind w:firstLine="420"/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点开伸缩按钮，可以看见当前管理员所有的下级普法单位。其中能重置下级单位的密码的功能。选择某普法办进行重置密码，重置后的密码为</w:t>
      </w:r>
      <w:r>
        <w:rPr>
          <w:rFonts w:hint="eastAsia" w:ascii="微软雅黑" w:hAnsi="微软雅黑" w:eastAsia="微软雅黑" w:cs="微软雅黑"/>
          <w:color w:val="FF0000"/>
          <w:kern w:val="2"/>
          <w:sz w:val="30"/>
          <w:szCs w:val="24"/>
          <w:lang w:val="en-US" w:eastAsia="zh-CN" w:bidi="ar-SA"/>
        </w:rPr>
        <w:t>pfb12345</w:t>
      </w: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。</w:t>
      </w:r>
    </w:p>
    <w:p w14:paraId="09E4525A">
      <w:pPr>
        <w:pStyle w:val="3"/>
        <w:rPr>
          <w:rFonts w:hint="eastAsia" w:ascii="微软雅黑" w:hAnsi="微软雅黑" w:eastAsia="微软雅黑" w:cs="微软雅黑"/>
          <w:sz w:val="32"/>
          <w:szCs w:val="32"/>
        </w:rPr>
      </w:pPr>
      <w:bookmarkStart w:id="15" w:name="_Toc480276994"/>
      <w:bookmarkStart w:id="16" w:name="_Toc22954"/>
      <w:r>
        <w:rPr>
          <w:rFonts w:hint="eastAsia" w:ascii="微软雅黑" w:hAnsi="微软雅黑" w:eastAsia="微软雅黑" w:cs="微软雅黑"/>
          <w:sz w:val="32"/>
          <w:szCs w:val="32"/>
        </w:rPr>
        <w:t>三、统计报表</w:t>
      </w:r>
      <w:bookmarkEnd w:id="15"/>
      <w:bookmarkEnd w:id="16"/>
    </w:p>
    <w:p w14:paraId="2CDBB62E">
      <w:pPr>
        <w:pStyle w:val="4"/>
        <w:ind w:firstLine="420" w:firstLineChars="0"/>
        <w:rPr>
          <w:rFonts w:hint="eastAsia" w:ascii="微软雅黑" w:hAnsi="微软雅黑" w:eastAsia="微软雅黑" w:cs="微软雅黑"/>
          <w:lang w:eastAsia="zh-CN"/>
        </w:rPr>
      </w:pPr>
      <w:bookmarkStart w:id="17" w:name="_Toc480276995"/>
      <w:bookmarkStart w:id="18" w:name="_Toc20887"/>
      <w:r>
        <w:rPr>
          <w:rFonts w:hint="eastAsia" w:ascii="微软雅黑" w:hAnsi="微软雅黑" w:eastAsia="微软雅黑" w:cs="微软雅黑"/>
        </w:rPr>
        <w:t>1、</w:t>
      </w:r>
      <w:bookmarkEnd w:id="17"/>
      <w:r>
        <w:rPr>
          <w:rFonts w:hint="eastAsia" w:ascii="微软雅黑" w:hAnsi="微软雅黑" w:eastAsia="微软雅黑" w:cs="微软雅黑"/>
          <w:lang w:eastAsia="zh-CN"/>
        </w:rPr>
        <w:t>个人学考</w:t>
      </w:r>
      <w:bookmarkEnd w:id="18"/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点击“统计报表”功能导航，点击“</w:t>
      </w:r>
      <w:r>
        <w:rPr>
          <w:rFonts w:hint="eastAsia" w:ascii="微软雅黑" w:hAnsi="微软雅黑" w:eastAsia="微软雅黑" w:cs="微软雅黑"/>
          <w:lang w:eastAsia="zh-CN"/>
        </w:rPr>
        <w:t>个人学考</w:t>
      </w:r>
      <w:r>
        <w:rPr>
          <w:rFonts w:hint="eastAsia" w:ascii="微软雅黑" w:hAnsi="微软雅黑" w:eastAsia="微软雅黑" w:cs="微软雅黑"/>
        </w:rPr>
        <w:t>”，</w:t>
      </w:r>
    </w:p>
    <w:p w14:paraId="4782B52B">
      <w:pPr>
        <w:jc w:val="left"/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首先输入学员姓名查询学员ID，下方选择查询年度，输入学员ID查询个人学考情况。如下图：</w:t>
      </w:r>
    </w:p>
    <w:p w14:paraId="1E3DFC2C">
      <w:pPr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59070" cy="1985010"/>
            <wp:effectExtent l="0" t="0" r="17780" b="15240"/>
            <wp:docPr id="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2A7A">
      <w:pPr>
        <w:pStyle w:val="4"/>
        <w:ind w:firstLine="420" w:firstLineChars="0"/>
        <w:rPr>
          <w:rFonts w:hint="eastAsia" w:ascii="微软雅黑" w:hAnsi="微软雅黑" w:eastAsia="微软雅黑" w:cs="微软雅黑"/>
        </w:rPr>
      </w:pPr>
      <w:bookmarkStart w:id="19" w:name="_Toc8067"/>
      <w:r>
        <w:rPr>
          <w:rFonts w:hint="eastAsia" w:ascii="微软雅黑" w:hAnsi="微软雅黑" w:eastAsia="微软雅黑" w:cs="微软雅黑"/>
        </w:rPr>
        <w:t>2、考试情况</w:t>
      </w:r>
      <w:bookmarkEnd w:id="19"/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：</w:t>
      </w:r>
      <w:r>
        <w:rPr>
          <w:rFonts w:hint="eastAsia" w:ascii="微软雅黑" w:hAnsi="微软雅黑" w:eastAsia="微软雅黑" w:cs="微软雅黑"/>
        </w:rPr>
        <w:t>点击“统计报表”功能导航，点击“考试情况”，考试情况按地区查询，如下图：</w:t>
      </w:r>
    </w:p>
    <w:p w14:paraId="136D2865">
      <w:pPr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1770" cy="1562735"/>
            <wp:effectExtent l="0" t="0" r="5080" b="18415"/>
            <wp:docPr id="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6384D">
      <w:pPr>
        <w:ind w:firstLine="42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按部门查询，首先输入学法单位名称查出部门编号，再通过部门编号查询考试统计信息。</w:t>
      </w:r>
    </w:p>
    <w:p w14:paraId="4892954B">
      <w:p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1610" cy="1681480"/>
            <wp:effectExtent l="0" t="0" r="15240" b="13970"/>
            <wp:docPr id="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D7D5A">
      <w:pPr>
        <w:pStyle w:val="4"/>
        <w:ind w:firstLine="420" w:firstLineChars="0"/>
        <w:rPr>
          <w:rFonts w:hint="eastAsia" w:ascii="微软雅黑" w:hAnsi="微软雅黑" w:eastAsia="微软雅黑" w:cs="微软雅黑"/>
        </w:rPr>
      </w:pPr>
      <w:bookmarkStart w:id="20" w:name="_Toc15061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CN"/>
        </w:rPr>
        <w:t>人数统计</w:t>
      </w:r>
      <w:bookmarkEnd w:id="20"/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点击“统计报表”功能导航，点击“</w:t>
      </w:r>
      <w:r>
        <w:rPr>
          <w:rFonts w:hint="eastAsia" w:ascii="微软雅黑" w:hAnsi="微软雅黑" w:eastAsia="微软雅黑" w:cs="微软雅黑"/>
          <w:lang w:eastAsia="zh-CN"/>
        </w:rPr>
        <w:t>人数统计</w:t>
      </w:r>
      <w:r>
        <w:rPr>
          <w:rFonts w:hint="eastAsia" w:ascii="微软雅黑" w:hAnsi="微软雅黑" w:eastAsia="微软雅黑" w:cs="微软雅黑"/>
        </w:rPr>
        <w:t>”，</w:t>
      </w:r>
      <w:r>
        <w:rPr>
          <w:rFonts w:hint="eastAsia" w:ascii="微软雅黑" w:hAnsi="微软雅黑" w:eastAsia="微软雅黑" w:cs="微软雅黑"/>
          <w:lang w:eastAsia="zh-CN"/>
        </w:rPr>
        <w:t>即可查看到人数统计的树形图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从而很直观的看到各个单位的在册人数情况。</w:t>
      </w:r>
      <w:r>
        <w:rPr>
          <w:rFonts w:hint="eastAsia" w:ascii="微软雅黑" w:hAnsi="微软雅黑" w:eastAsia="微软雅黑" w:cs="微软雅黑"/>
        </w:rPr>
        <w:t>如下图：</w:t>
      </w:r>
    </w:p>
    <w:p w14:paraId="524878D0">
      <w:pPr>
        <w:jc w:val="left"/>
      </w:pPr>
      <w:bookmarkStart w:id="21" w:name="_Toc10002"/>
      <w:bookmarkStart w:id="22" w:name="_Toc480276996"/>
      <w:r>
        <w:drawing>
          <wp:inline distT="0" distB="0" distL="114300" distR="114300">
            <wp:extent cx="5263515" cy="2186940"/>
            <wp:effectExtent l="0" t="0" r="13335" b="3810"/>
            <wp:docPr id="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69BD">
      <w:pPr>
        <w:pStyle w:val="4"/>
        <w:ind w:firstLine="420" w:firstLineChars="0"/>
      </w:pP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val="en-US" w:eastAsia="zh-CN"/>
        </w:rPr>
        <w:t>成绩下载</w:t>
      </w:r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</w:rPr>
        <w:t>点击“</w:t>
      </w:r>
      <w:r>
        <w:rPr>
          <w:rFonts w:hint="eastAsia" w:ascii="微软雅黑" w:hAnsi="微软雅黑" w:eastAsia="微软雅黑" w:cs="微软雅黑"/>
          <w:lang w:val="en-US" w:eastAsia="zh-CN"/>
        </w:rPr>
        <w:t>成绩下载</w:t>
      </w:r>
      <w:r>
        <w:rPr>
          <w:rFonts w:hint="eastAsia" w:ascii="微软雅黑" w:hAnsi="微软雅黑" w:eastAsia="微软雅黑" w:cs="微软雅黑"/>
        </w:rPr>
        <w:t>”功能导航，</w:t>
      </w:r>
      <w:r>
        <w:rPr>
          <w:rFonts w:hint="eastAsia" w:ascii="微软雅黑" w:hAnsi="微软雅黑" w:eastAsia="微软雅黑" w:cs="微软雅黑"/>
          <w:lang w:val="en-US" w:eastAsia="zh-CN"/>
        </w:rPr>
        <w:t>进入下载页面，</w:t>
      </w:r>
      <w:r>
        <w:rPr>
          <w:rFonts w:hint="eastAsia" w:ascii="微软雅黑" w:hAnsi="微软雅黑" w:eastAsia="微软雅黑" w:cs="微软雅黑"/>
          <w:lang w:eastAsia="zh-CN"/>
        </w:rPr>
        <w:t>即可</w:t>
      </w:r>
      <w:r>
        <w:rPr>
          <w:rFonts w:hint="eastAsia" w:ascii="微软雅黑" w:hAnsi="微软雅黑" w:eastAsia="微软雅黑" w:cs="微软雅黑"/>
          <w:lang w:val="en-US" w:eastAsia="zh-CN"/>
        </w:rPr>
        <w:t>下载</w:t>
      </w:r>
      <w:r>
        <w:rPr>
          <w:rFonts w:hint="eastAsia" w:ascii="微软雅黑" w:hAnsi="微软雅黑" w:eastAsia="微软雅黑" w:cs="微软雅黑"/>
          <w:lang w:eastAsia="zh-CN"/>
        </w:rPr>
        <w:t>直辖</w:t>
      </w:r>
      <w:r>
        <w:rPr>
          <w:rFonts w:hint="eastAsia" w:ascii="微软雅黑" w:hAnsi="微软雅黑" w:eastAsia="微软雅黑" w:cs="微软雅黑"/>
          <w:lang w:val="en-US" w:eastAsia="zh-CN"/>
        </w:rPr>
        <w:t>区域</w:t>
      </w:r>
      <w:r>
        <w:rPr>
          <w:rFonts w:hint="eastAsia" w:ascii="微软雅黑" w:hAnsi="微软雅黑" w:eastAsia="微软雅黑" w:cs="微软雅黑"/>
          <w:lang w:eastAsia="zh-CN"/>
        </w:rPr>
        <w:t>学员的成绩。</w:t>
      </w:r>
      <w:r>
        <w:rPr>
          <w:rFonts w:hint="eastAsia" w:ascii="微软雅黑" w:hAnsi="微软雅黑" w:eastAsia="微软雅黑" w:cs="微软雅黑"/>
        </w:rPr>
        <w:t>如下图：</w:t>
      </w:r>
    </w:p>
    <w:p w14:paraId="0FCF4E5D">
      <w:pPr>
        <w:jc w:val="left"/>
      </w:pPr>
      <w:r>
        <w:drawing>
          <wp:inline distT="0" distB="0" distL="114300" distR="114300">
            <wp:extent cx="5260975" cy="2195195"/>
            <wp:effectExtent l="0" t="0" r="15875" b="14605"/>
            <wp:docPr id="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B818A">
      <w:pPr>
        <w:jc w:val="left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四、考试排名</w:t>
      </w:r>
      <w:bookmarkEnd w:id="21"/>
      <w:r>
        <w:rPr>
          <w:rFonts w:hint="eastAsia" w:ascii="微软雅黑" w:hAnsi="微软雅黑" w:eastAsia="微软雅黑" w:cs="微软雅黑"/>
          <w:sz w:val="32"/>
          <w:szCs w:val="32"/>
        </w:rPr>
        <w:t xml:space="preserve"> </w:t>
      </w:r>
      <w:bookmarkEnd w:id="22"/>
      <w:bookmarkStart w:id="23" w:name="_Toc32628"/>
    </w:p>
    <w:p w14:paraId="077F3098">
      <w:pPr>
        <w:ind w:firstLine="600" w:firstLineChars="200"/>
        <w:jc w:val="left"/>
        <w:rPr>
          <w:rFonts w:hint="eastAsia" w:ascii="微软雅黑" w:hAnsi="微软雅黑" w:eastAsia="微软雅黑" w:cs="微软雅黑"/>
          <w:kern w:val="0"/>
          <w:sz w:val="24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1、全省排名</w:t>
      </w:r>
      <w:bookmarkEnd w:id="23"/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：点击“考试排名”功能导航下的“本地区排名”，即可查询考试排名，可以看到每个地区的“参考率”、“及格率”、“优秀率”以及“平均分”，其中前面的序号即在该级地区的排名。如下图：</w:t>
      </w:r>
    </w:p>
    <w:p w14:paraId="259A49C1">
      <w:pPr>
        <w:widowControl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73040" cy="1905000"/>
            <wp:effectExtent l="0" t="0" r="3810" b="0"/>
            <wp:docPr id="1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5E57F">
      <w:pPr>
        <w:pStyle w:val="4"/>
        <w:ind w:firstLine="420" w:firstLineChars="0"/>
        <w:rPr>
          <w:rFonts w:hint="eastAsia" w:ascii="微软雅黑" w:hAnsi="微软雅黑" w:eastAsia="微软雅黑" w:cs="微软雅黑"/>
          <w:lang w:eastAsia="zh-CN"/>
        </w:rPr>
      </w:pPr>
      <w:bookmarkStart w:id="24" w:name="_Toc22513"/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CN"/>
        </w:rPr>
        <w:t>地市排名</w:t>
      </w:r>
      <w:bookmarkEnd w:id="24"/>
      <w:r>
        <w:rPr>
          <w:rFonts w:hint="eastAsia" w:ascii="微软雅黑" w:hAnsi="微软雅黑" w:eastAsia="微软雅黑" w:cs="微软雅黑"/>
          <w:lang w:eastAsia="zh-CN"/>
        </w:rPr>
        <w:t>：点击“</w:t>
      </w:r>
      <w:r>
        <w:rPr>
          <w:rFonts w:hint="eastAsia" w:ascii="微软雅黑" w:hAnsi="微软雅黑" w:eastAsia="微软雅黑" w:cs="微软雅黑"/>
        </w:rPr>
        <w:t>考试排名”功能导航</w:t>
      </w:r>
      <w:r>
        <w:rPr>
          <w:rFonts w:hint="eastAsia" w:ascii="微软雅黑" w:hAnsi="微软雅黑" w:eastAsia="微软雅黑" w:cs="微软雅黑"/>
          <w:lang w:eastAsia="zh-CN"/>
        </w:rPr>
        <w:t>下的“地市排名”，即可查看广东省司法考试地市排名图表。其中点击右上角图标可以“打印图表”，导出相应的图片和文档。如下图：</w:t>
      </w:r>
    </w:p>
    <w:p w14:paraId="4E918DBC">
      <w:pPr>
        <w:widowControl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2245" cy="1837055"/>
            <wp:effectExtent l="0" t="0" r="14605" b="10795"/>
            <wp:docPr id="1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D0DD">
      <w:pPr>
        <w:pStyle w:val="3"/>
        <w:rPr>
          <w:rFonts w:hint="eastAsia" w:ascii="微软雅黑" w:hAnsi="微软雅黑" w:eastAsia="微软雅黑" w:cs="微软雅黑"/>
          <w:sz w:val="32"/>
          <w:szCs w:val="32"/>
        </w:rPr>
      </w:pPr>
      <w:bookmarkStart w:id="25" w:name="_Toc16063"/>
      <w:bookmarkStart w:id="26" w:name="_Toc480276997"/>
      <w:r>
        <w:rPr>
          <w:rFonts w:hint="eastAsia" w:ascii="微软雅黑" w:hAnsi="微软雅黑" w:eastAsia="微软雅黑" w:cs="微软雅黑"/>
          <w:sz w:val="32"/>
          <w:szCs w:val="32"/>
        </w:rPr>
        <w:t>五、通知管理</w:t>
      </w:r>
      <w:bookmarkEnd w:id="25"/>
      <w:bookmarkEnd w:id="26"/>
    </w:p>
    <w:p w14:paraId="34636E2E">
      <w:pPr>
        <w:ind w:firstLine="420" w:firstLineChars="0"/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点击“通知管理”功能导航，有“添加新通知”和“查询通知”功能。如下图：</w:t>
      </w:r>
    </w:p>
    <w:p w14:paraId="78044A9C">
      <w:pP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</w:pPr>
      <w:r>
        <w:drawing>
          <wp:inline distT="0" distB="0" distL="114300" distR="114300">
            <wp:extent cx="5256530" cy="2033270"/>
            <wp:effectExtent l="0" t="0" r="1270" b="5080"/>
            <wp:docPr id="1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2"/>
                    <pic:cNvPicPr>
                      <a:picLocks noChangeAspect="1"/>
                    </pic:cNvPicPr>
                  </pic:nvPicPr>
                  <pic:blipFill>
                    <a:blip r:embed="rId15"/>
                    <a:srcRect t="120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4375">
      <w:pPr>
        <w:rPr>
          <w:rFonts w:hint="eastAsia" w:ascii="微软雅黑" w:hAnsi="微软雅黑" w:eastAsia="微软雅黑" w:cs="微软雅黑"/>
        </w:rPr>
      </w:pPr>
    </w:p>
    <w:p w14:paraId="7C66B38C">
      <w:pPr>
        <w:outlineLvl w:val="1"/>
        <w:rPr>
          <w:rFonts w:hint="eastAsia" w:ascii="微软雅黑" w:hAnsi="微软雅黑" w:eastAsia="微软雅黑" w:cs="微软雅黑"/>
          <w:kern w:val="2"/>
          <w:sz w:val="32"/>
          <w:szCs w:val="32"/>
          <w:lang w:val="en-US" w:eastAsia="zh-CN" w:bidi="ar-SA"/>
        </w:rPr>
      </w:pPr>
      <w:bookmarkStart w:id="27" w:name="_Toc480277000"/>
      <w:bookmarkStart w:id="28" w:name="_Toc12830"/>
      <w:r>
        <w:rPr>
          <w:rFonts w:hint="eastAsia" w:ascii="微软雅黑" w:hAnsi="微软雅黑" w:eastAsia="微软雅黑" w:cs="微软雅黑"/>
          <w:kern w:val="2"/>
          <w:sz w:val="32"/>
          <w:szCs w:val="32"/>
          <w:lang w:val="en-US" w:eastAsia="zh-CN" w:bidi="ar-SA"/>
        </w:rPr>
        <w:t>六、学法单位</w:t>
      </w:r>
      <w:bookmarkEnd w:id="27"/>
      <w:bookmarkEnd w:id="28"/>
    </w:p>
    <w:p w14:paraId="04057225">
      <w:pPr>
        <w:ind w:firstLine="42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点击“学法单位”功能导航，有“学法单位管理”、“学法单位查询”、“学员管理”以及“个人学考记录”等功能。如下图：</w:t>
      </w:r>
    </w:p>
    <w:p w14:paraId="2A2B5A3F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0975" cy="2023110"/>
            <wp:effectExtent l="0" t="0" r="15875" b="15240"/>
            <wp:docPr id="1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55E2">
      <w:pPr>
        <w:pStyle w:val="4"/>
        <w:ind w:firstLine="420" w:firstLineChars="0"/>
        <w:rPr>
          <w:rFonts w:hint="eastAsia" w:ascii="微软雅黑" w:hAnsi="微软雅黑" w:eastAsia="微软雅黑" w:cs="微软雅黑"/>
          <w:lang w:eastAsia="zh-CN"/>
        </w:rPr>
      </w:pPr>
      <w:bookmarkStart w:id="29" w:name="_Toc480277001"/>
      <w:bookmarkStart w:id="30" w:name="_Toc23258"/>
      <w:r>
        <w:rPr>
          <w:rFonts w:hint="eastAsia" w:ascii="微软雅黑" w:hAnsi="微软雅黑" w:eastAsia="微软雅黑" w:cs="微软雅黑"/>
        </w:rPr>
        <w:t>1、学法单位</w:t>
      </w:r>
      <w:bookmarkEnd w:id="29"/>
      <w:r>
        <w:rPr>
          <w:rFonts w:hint="eastAsia" w:ascii="微软雅黑" w:hAnsi="微软雅黑" w:eastAsia="微软雅黑" w:cs="微软雅黑"/>
          <w:lang w:eastAsia="zh-CN"/>
        </w:rPr>
        <w:t>管理</w:t>
      </w:r>
      <w:bookmarkEnd w:id="30"/>
    </w:p>
    <w:p w14:paraId="0399FC86">
      <w:pPr>
        <w:pStyle w:val="4"/>
        <w:ind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（1） 单位录入：</w:t>
      </w:r>
      <w:r>
        <w:rPr>
          <w:rFonts w:hint="eastAsia" w:ascii="微软雅黑" w:hAnsi="微软雅黑" w:eastAsia="微软雅黑" w:cs="微软雅黑"/>
          <w:lang w:eastAsia="zh-CN"/>
        </w:rPr>
        <w:t>添加学法单位，</w:t>
      </w:r>
      <w:r>
        <w:rPr>
          <w:rFonts w:hint="eastAsia" w:ascii="微软雅黑" w:hAnsi="微软雅黑" w:eastAsia="微软雅黑" w:cs="微软雅黑"/>
        </w:rPr>
        <w:t>输入</w:t>
      </w:r>
      <w:r>
        <w:rPr>
          <w:rFonts w:hint="eastAsia" w:ascii="微软雅黑" w:hAnsi="微软雅黑" w:eastAsia="微软雅黑" w:cs="微软雅黑"/>
          <w:lang w:eastAsia="zh-CN"/>
        </w:rPr>
        <w:t>相应的单位信息后，</w:t>
      </w:r>
      <w:r>
        <w:rPr>
          <w:rFonts w:hint="eastAsia" w:ascii="微软雅黑" w:hAnsi="微软雅黑" w:eastAsia="微软雅黑" w:cs="微软雅黑"/>
          <w:lang w:val="en-US" w:eastAsia="zh-CN"/>
        </w:rPr>
        <w:t>点击提交，即可成功注册新学法单位</w:t>
      </w:r>
      <w:r>
        <w:rPr>
          <w:rFonts w:hint="eastAsia" w:ascii="微软雅黑" w:hAnsi="微软雅黑" w:eastAsia="微软雅黑" w:cs="微软雅黑"/>
        </w:rPr>
        <w:t>。如下图：</w:t>
      </w:r>
    </w:p>
    <w:p w14:paraId="7B0CC11F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230" cy="2305050"/>
            <wp:effectExtent l="0" t="0" r="7620" b="0"/>
            <wp:docPr id="1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72321">
      <w:pPr>
        <w:ind w:left="420" w:leftChars="0" w:firstLine="420" w:firstLineChars="0"/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（2） 单位导入：首先下载模板，根据模板将单位信息写入模板，再上传做好的模板。如下图：</w:t>
      </w:r>
    </w:p>
    <w:p w14:paraId="66A36634">
      <w:pPr>
        <w:rPr>
          <w:rFonts w:hint="eastAsia" w:ascii="微软雅黑" w:hAnsi="微软雅黑" w:eastAsia="微软雅黑" w:cs="微软雅黑"/>
          <w:lang w:val="en-US" w:eastAsia="zh-CN"/>
        </w:rPr>
      </w:pPr>
    </w:p>
    <w:p w14:paraId="78247936"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59070" cy="1135380"/>
            <wp:effectExtent l="0" t="0" r="17780" b="7620"/>
            <wp:docPr id="1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655B8">
      <w:pPr>
        <w:pStyle w:val="4"/>
        <w:ind w:firstLine="420" w:firstLineChars="0"/>
        <w:rPr>
          <w:rFonts w:hint="eastAsia" w:ascii="微软雅黑" w:hAnsi="微软雅黑" w:eastAsia="微软雅黑" w:cs="微软雅黑"/>
          <w:lang w:eastAsia="zh-CN"/>
        </w:rPr>
      </w:pPr>
      <w:bookmarkStart w:id="31" w:name="_Toc480277002"/>
      <w:bookmarkStart w:id="32" w:name="_Toc32766"/>
      <w:r>
        <w:rPr>
          <w:rFonts w:hint="eastAsia" w:ascii="微软雅黑" w:hAnsi="微软雅黑" w:eastAsia="微软雅黑" w:cs="微软雅黑"/>
        </w:rPr>
        <w:t>2、学法单位查询</w:t>
      </w:r>
      <w:bookmarkEnd w:id="31"/>
      <w:bookmarkEnd w:id="32"/>
      <w:r>
        <w:rPr>
          <w:rFonts w:hint="eastAsia" w:ascii="微软雅黑" w:hAnsi="微软雅黑" w:eastAsia="微软雅黑" w:cs="微软雅黑"/>
          <w:lang w:eastAsia="zh-CN"/>
        </w:rPr>
        <w:t>：学法单位查询输入单位名称检索单位，</w:t>
      </w:r>
      <w:r>
        <w:rPr>
          <w:rFonts w:hint="eastAsia" w:ascii="微软雅黑" w:hAnsi="微软雅黑" w:eastAsia="微软雅黑" w:cs="微软雅黑"/>
          <w:lang w:val="en-US" w:eastAsia="zh-CN"/>
        </w:rPr>
        <w:t>设置</w:t>
      </w:r>
      <w:r>
        <w:rPr>
          <w:rFonts w:hint="eastAsia" w:ascii="微软雅黑" w:hAnsi="微软雅黑" w:eastAsia="微软雅黑" w:cs="微软雅黑"/>
          <w:lang w:eastAsia="zh-CN"/>
        </w:rPr>
        <w:t>“</w:t>
      </w:r>
      <w:r>
        <w:rPr>
          <w:rFonts w:hint="eastAsia" w:ascii="微软雅黑" w:hAnsi="微软雅黑" w:eastAsia="微软雅黑" w:cs="微软雅黑"/>
          <w:lang w:val="en-US" w:eastAsia="zh-CN"/>
        </w:rPr>
        <w:t>修改单位</w:t>
      </w:r>
      <w:r>
        <w:rPr>
          <w:rFonts w:hint="eastAsia" w:ascii="微软雅黑" w:hAnsi="微软雅黑" w:eastAsia="微软雅黑" w:cs="微软雅黑"/>
          <w:lang w:eastAsia="zh-CN"/>
        </w:rPr>
        <w:t>”“审核单位”、“删除单位”、“重置单位管理账号密码”以及“查看单位学员”</w:t>
      </w:r>
      <w:r>
        <w:rPr>
          <w:rFonts w:hint="eastAsia" w:ascii="微软雅黑" w:hAnsi="微软雅黑" w:eastAsia="微软雅黑" w:cs="微软雅黑"/>
          <w:lang w:val="en-US" w:eastAsia="zh-CN"/>
        </w:rPr>
        <w:t>功能。</w:t>
      </w:r>
    </w:p>
    <w:p w14:paraId="7BF0F045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5420" cy="1064895"/>
            <wp:effectExtent l="0" t="0" r="11430" b="1905"/>
            <wp:docPr id="1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FF6A">
      <w:pPr>
        <w:pStyle w:val="4"/>
        <w:ind w:firstLine="420" w:firstLineChars="0"/>
        <w:rPr>
          <w:rFonts w:hint="eastAsia" w:ascii="微软雅黑" w:hAnsi="微软雅黑" w:eastAsia="微软雅黑" w:cs="微软雅黑"/>
          <w:lang w:eastAsia="zh-CN"/>
        </w:rPr>
      </w:pPr>
      <w:bookmarkStart w:id="33" w:name="_Toc2103"/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、学</w:t>
      </w:r>
      <w:r>
        <w:rPr>
          <w:rFonts w:hint="eastAsia" w:ascii="微软雅黑" w:hAnsi="微软雅黑" w:eastAsia="微软雅黑" w:cs="微软雅黑"/>
          <w:lang w:eastAsia="zh-CN"/>
        </w:rPr>
        <w:t>员管理</w:t>
      </w:r>
      <w:bookmarkEnd w:id="33"/>
      <w:r>
        <w:rPr>
          <w:rFonts w:hint="eastAsia" w:ascii="微软雅黑" w:hAnsi="微软雅黑" w:eastAsia="微软雅黑" w:cs="微软雅黑"/>
          <w:lang w:eastAsia="zh-CN"/>
        </w:rPr>
        <w:t>：学员管理能单个添加学员，也能批量导入学员。其操作如“添加学法单位”一样。如下图：</w:t>
      </w:r>
    </w:p>
    <w:p w14:paraId="32F13BDA">
      <w:pPr>
        <w:ind w:firstLine="420" w:firstLineChars="0"/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（1）单个添加学员：</w:t>
      </w:r>
    </w:p>
    <w:p w14:paraId="7C01C32A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9230" cy="1708150"/>
            <wp:effectExtent l="0" t="0" r="7620" b="6350"/>
            <wp:docPr id="17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rcRect b="2909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79A6">
      <w:pPr>
        <w:ind w:firstLine="420" w:firstLineChars="0"/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（2）批量导入学员：</w:t>
      </w:r>
    </w:p>
    <w:p w14:paraId="2B8C6E7D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1135" cy="1241425"/>
            <wp:effectExtent l="0" t="0" r="5715" b="15875"/>
            <wp:docPr id="1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D1669">
      <w:pPr>
        <w:ind w:firstLine="420" w:firstLineChars="0"/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30"/>
          <w:szCs w:val="24"/>
          <w:lang w:val="en-US" w:eastAsia="zh-CN" w:bidi="ar-SA"/>
        </w:rPr>
        <w:t>（3）修改学员信息：在学员查询界面中能“修改学员”、“重置密码”、“删除学员”以及“查看学员学考记录”。如下图：</w:t>
      </w:r>
    </w:p>
    <w:p w14:paraId="4EA24F35">
      <w:pPr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836930"/>
            <wp:effectExtent l="0" t="0" r="10160" b="1270"/>
            <wp:docPr id="1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3E80">
      <w:pPr>
        <w:rPr>
          <w:rFonts w:hint="eastAsia" w:ascii="微软雅黑" w:hAnsi="微软雅黑" w:eastAsia="微软雅黑" w:cs="微软雅黑"/>
        </w:rPr>
      </w:pPr>
    </w:p>
    <w:p w14:paraId="705CA35F">
      <w:pPr>
        <w:pStyle w:val="4"/>
        <w:ind w:firstLine="420" w:firstLineChars="0"/>
        <w:rPr>
          <w:rFonts w:hint="eastAsia" w:ascii="微软雅黑" w:hAnsi="微软雅黑" w:eastAsia="微软雅黑" w:cs="微软雅黑"/>
        </w:rPr>
      </w:pPr>
      <w:bookmarkStart w:id="34" w:name="_Toc18322"/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、</w:t>
      </w:r>
      <w:r>
        <w:rPr>
          <w:rFonts w:hint="eastAsia" w:ascii="微软雅黑" w:hAnsi="微软雅黑" w:eastAsia="微软雅黑" w:cs="微软雅黑"/>
          <w:lang w:eastAsia="zh-CN"/>
        </w:rPr>
        <w:t>个人学考记录</w:t>
      </w:r>
      <w:bookmarkEnd w:id="34"/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  <w:lang w:val="en-US" w:eastAsia="zh-CN"/>
        </w:rPr>
        <w:t>通过上一步选定该学员后，点击“学考记录”，进入“个人学考记录”查询页面，选择年度查询该学员的本年度的学习以及考试的记录。如下图：</w:t>
      </w:r>
    </w:p>
    <w:p w14:paraId="17523BE7"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57800" cy="2530475"/>
            <wp:effectExtent l="0" t="0" r="0" b="3175"/>
            <wp:docPr id="20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lNWEzNzdmZGI1YzdlN2RjN2EzYTIxMmNiNTdjZWQifQ=="/>
  </w:docVars>
  <w:rsids>
    <w:rsidRoot w:val="005F3F35"/>
    <w:rsid w:val="00090776"/>
    <w:rsid w:val="00097F20"/>
    <w:rsid w:val="000A294D"/>
    <w:rsid w:val="000A3CE7"/>
    <w:rsid w:val="000C3D33"/>
    <w:rsid w:val="00134FAC"/>
    <w:rsid w:val="00140E87"/>
    <w:rsid w:val="00156AF0"/>
    <w:rsid w:val="001925C5"/>
    <w:rsid w:val="001A1B27"/>
    <w:rsid w:val="0022222D"/>
    <w:rsid w:val="0022303C"/>
    <w:rsid w:val="00245C67"/>
    <w:rsid w:val="00251B8D"/>
    <w:rsid w:val="00257488"/>
    <w:rsid w:val="00292981"/>
    <w:rsid w:val="002A1388"/>
    <w:rsid w:val="002B1C9A"/>
    <w:rsid w:val="002D4D78"/>
    <w:rsid w:val="00310C55"/>
    <w:rsid w:val="003205D7"/>
    <w:rsid w:val="0035045B"/>
    <w:rsid w:val="00352181"/>
    <w:rsid w:val="00386EE9"/>
    <w:rsid w:val="003E7FF2"/>
    <w:rsid w:val="00427037"/>
    <w:rsid w:val="004364BA"/>
    <w:rsid w:val="004433A9"/>
    <w:rsid w:val="00452283"/>
    <w:rsid w:val="004756BE"/>
    <w:rsid w:val="0048517B"/>
    <w:rsid w:val="004A405B"/>
    <w:rsid w:val="004A573D"/>
    <w:rsid w:val="004B439D"/>
    <w:rsid w:val="004E4A03"/>
    <w:rsid w:val="004E7FF6"/>
    <w:rsid w:val="00555C5D"/>
    <w:rsid w:val="00561B21"/>
    <w:rsid w:val="005818AD"/>
    <w:rsid w:val="005A4232"/>
    <w:rsid w:val="005C028D"/>
    <w:rsid w:val="005C6628"/>
    <w:rsid w:val="005F3F35"/>
    <w:rsid w:val="006038BE"/>
    <w:rsid w:val="00612365"/>
    <w:rsid w:val="00624BD8"/>
    <w:rsid w:val="006421DA"/>
    <w:rsid w:val="00674A16"/>
    <w:rsid w:val="0068005F"/>
    <w:rsid w:val="00683E3E"/>
    <w:rsid w:val="00695678"/>
    <w:rsid w:val="006B2F3F"/>
    <w:rsid w:val="006D5A65"/>
    <w:rsid w:val="006E3117"/>
    <w:rsid w:val="00701C9F"/>
    <w:rsid w:val="00710BC7"/>
    <w:rsid w:val="00736BB9"/>
    <w:rsid w:val="00743A9E"/>
    <w:rsid w:val="00751354"/>
    <w:rsid w:val="007A0BFA"/>
    <w:rsid w:val="007A3D2A"/>
    <w:rsid w:val="007B3D46"/>
    <w:rsid w:val="007B7DC9"/>
    <w:rsid w:val="007D394D"/>
    <w:rsid w:val="007D72A3"/>
    <w:rsid w:val="007E0AB1"/>
    <w:rsid w:val="008100DA"/>
    <w:rsid w:val="00837D54"/>
    <w:rsid w:val="008906C0"/>
    <w:rsid w:val="008A3F6F"/>
    <w:rsid w:val="009034A5"/>
    <w:rsid w:val="009100BB"/>
    <w:rsid w:val="00937913"/>
    <w:rsid w:val="00971D8A"/>
    <w:rsid w:val="00972A02"/>
    <w:rsid w:val="009B016D"/>
    <w:rsid w:val="009B356B"/>
    <w:rsid w:val="009D43BB"/>
    <w:rsid w:val="009E4255"/>
    <w:rsid w:val="00A059FA"/>
    <w:rsid w:val="00A41648"/>
    <w:rsid w:val="00A7445F"/>
    <w:rsid w:val="00A97F98"/>
    <w:rsid w:val="00AB4566"/>
    <w:rsid w:val="00AC6284"/>
    <w:rsid w:val="00B12469"/>
    <w:rsid w:val="00B21E2F"/>
    <w:rsid w:val="00B8057D"/>
    <w:rsid w:val="00BC3CB4"/>
    <w:rsid w:val="00BC44E7"/>
    <w:rsid w:val="00BE0AA6"/>
    <w:rsid w:val="00BF34B3"/>
    <w:rsid w:val="00C048E5"/>
    <w:rsid w:val="00C408AE"/>
    <w:rsid w:val="00CB0514"/>
    <w:rsid w:val="00CD448E"/>
    <w:rsid w:val="00CE1891"/>
    <w:rsid w:val="00CE72A5"/>
    <w:rsid w:val="00D10432"/>
    <w:rsid w:val="00D47AC1"/>
    <w:rsid w:val="00D57433"/>
    <w:rsid w:val="00D75584"/>
    <w:rsid w:val="00D76B9D"/>
    <w:rsid w:val="00DA0972"/>
    <w:rsid w:val="00DA2DA6"/>
    <w:rsid w:val="00E47FA5"/>
    <w:rsid w:val="00E61E71"/>
    <w:rsid w:val="00E81FBE"/>
    <w:rsid w:val="00E93649"/>
    <w:rsid w:val="00ED6B13"/>
    <w:rsid w:val="00EE1525"/>
    <w:rsid w:val="00EF2158"/>
    <w:rsid w:val="00F362D7"/>
    <w:rsid w:val="00F733ED"/>
    <w:rsid w:val="010A3811"/>
    <w:rsid w:val="01AB75A3"/>
    <w:rsid w:val="01B17738"/>
    <w:rsid w:val="0224187C"/>
    <w:rsid w:val="031A4A32"/>
    <w:rsid w:val="03223349"/>
    <w:rsid w:val="046827C3"/>
    <w:rsid w:val="04F41163"/>
    <w:rsid w:val="051A1D72"/>
    <w:rsid w:val="05811A33"/>
    <w:rsid w:val="06B54B7B"/>
    <w:rsid w:val="08754E6F"/>
    <w:rsid w:val="09345C2C"/>
    <w:rsid w:val="097B4F70"/>
    <w:rsid w:val="0A04103D"/>
    <w:rsid w:val="0B8C1EBA"/>
    <w:rsid w:val="0E836981"/>
    <w:rsid w:val="10A42CBA"/>
    <w:rsid w:val="138A4079"/>
    <w:rsid w:val="14357DDE"/>
    <w:rsid w:val="14621866"/>
    <w:rsid w:val="14FC4CF9"/>
    <w:rsid w:val="157E11D0"/>
    <w:rsid w:val="164130B5"/>
    <w:rsid w:val="16B26CF1"/>
    <w:rsid w:val="17BD2FC8"/>
    <w:rsid w:val="181C5717"/>
    <w:rsid w:val="19714EFF"/>
    <w:rsid w:val="19743164"/>
    <w:rsid w:val="1A2725AE"/>
    <w:rsid w:val="1A9A2C9F"/>
    <w:rsid w:val="1AC92BD5"/>
    <w:rsid w:val="1BD15994"/>
    <w:rsid w:val="1C0E7B24"/>
    <w:rsid w:val="1CAB083C"/>
    <w:rsid w:val="1F5919A7"/>
    <w:rsid w:val="219B6D37"/>
    <w:rsid w:val="222B1CC1"/>
    <w:rsid w:val="232E7421"/>
    <w:rsid w:val="23D76E61"/>
    <w:rsid w:val="24342C60"/>
    <w:rsid w:val="258C3110"/>
    <w:rsid w:val="26824B6C"/>
    <w:rsid w:val="26CD2C82"/>
    <w:rsid w:val="26E57E21"/>
    <w:rsid w:val="279E65C3"/>
    <w:rsid w:val="285F23F4"/>
    <w:rsid w:val="28E93478"/>
    <w:rsid w:val="29500F84"/>
    <w:rsid w:val="2A1C320C"/>
    <w:rsid w:val="2A850A0D"/>
    <w:rsid w:val="2AC41EE1"/>
    <w:rsid w:val="2B8D5A44"/>
    <w:rsid w:val="2C406961"/>
    <w:rsid w:val="2C8A426D"/>
    <w:rsid w:val="2D930155"/>
    <w:rsid w:val="2E18601A"/>
    <w:rsid w:val="2E2E4897"/>
    <w:rsid w:val="2EA11D0A"/>
    <w:rsid w:val="2F6714F2"/>
    <w:rsid w:val="2F9C2F7D"/>
    <w:rsid w:val="30077F63"/>
    <w:rsid w:val="309C2060"/>
    <w:rsid w:val="309E119F"/>
    <w:rsid w:val="313A2AB2"/>
    <w:rsid w:val="31F11776"/>
    <w:rsid w:val="320A658E"/>
    <w:rsid w:val="32E24DDD"/>
    <w:rsid w:val="34377633"/>
    <w:rsid w:val="354944AB"/>
    <w:rsid w:val="36D778A2"/>
    <w:rsid w:val="381F7A5C"/>
    <w:rsid w:val="383120A9"/>
    <w:rsid w:val="383E473E"/>
    <w:rsid w:val="38C87CAA"/>
    <w:rsid w:val="393B512F"/>
    <w:rsid w:val="39BC09B7"/>
    <w:rsid w:val="39DD329E"/>
    <w:rsid w:val="3A20079A"/>
    <w:rsid w:val="3B4B1CDD"/>
    <w:rsid w:val="3B74116E"/>
    <w:rsid w:val="3C265C15"/>
    <w:rsid w:val="3D914C70"/>
    <w:rsid w:val="3D9259A8"/>
    <w:rsid w:val="3E9D74E3"/>
    <w:rsid w:val="3EF02442"/>
    <w:rsid w:val="40993B17"/>
    <w:rsid w:val="40C754DC"/>
    <w:rsid w:val="40E47C81"/>
    <w:rsid w:val="41844CCB"/>
    <w:rsid w:val="42EF3857"/>
    <w:rsid w:val="43F31B94"/>
    <w:rsid w:val="448436AE"/>
    <w:rsid w:val="448C5AA1"/>
    <w:rsid w:val="45EF0FC8"/>
    <w:rsid w:val="45F7632D"/>
    <w:rsid w:val="46002362"/>
    <w:rsid w:val="465434AA"/>
    <w:rsid w:val="48BC708E"/>
    <w:rsid w:val="48C01470"/>
    <w:rsid w:val="495969DA"/>
    <w:rsid w:val="4AEC63CA"/>
    <w:rsid w:val="4B8A7550"/>
    <w:rsid w:val="4BDE5335"/>
    <w:rsid w:val="4C1840AA"/>
    <w:rsid w:val="4C1F3C79"/>
    <w:rsid w:val="4C4336E2"/>
    <w:rsid w:val="4C6C5E3E"/>
    <w:rsid w:val="4D6D09CB"/>
    <w:rsid w:val="4DC02171"/>
    <w:rsid w:val="4E233370"/>
    <w:rsid w:val="4E7E543D"/>
    <w:rsid w:val="4F18687C"/>
    <w:rsid w:val="501253E6"/>
    <w:rsid w:val="51366CBA"/>
    <w:rsid w:val="52574DA3"/>
    <w:rsid w:val="52FE7431"/>
    <w:rsid w:val="532A4109"/>
    <w:rsid w:val="533357B7"/>
    <w:rsid w:val="53EB292E"/>
    <w:rsid w:val="54C353FD"/>
    <w:rsid w:val="567B422D"/>
    <w:rsid w:val="57287BDF"/>
    <w:rsid w:val="57726803"/>
    <w:rsid w:val="580135E9"/>
    <w:rsid w:val="58A620CE"/>
    <w:rsid w:val="59C04A3A"/>
    <w:rsid w:val="5B33787D"/>
    <w:rsid w:val="5B467439"/>
    <w:rsid w:val="5B9839C7"/>
    <w:rsid w:val="5C383C3F"/>
    <w:rsid w:val="5CA21E1B"/>
    <w:rsid w:val="5D85382E"/>
    <w:rsid w:val="5DAE176F"/>
    <w:rsid w:val="5DEB5440"/>
    <w:rsid w:val="5E755A63"/>
    <w:rsid w:val="5E7E1588"/>
    <w:rsid w:val="5ECC3E26"/>
    <w:rsid w:val="5FAF715D"/>
    <w:rsid w:val="603D590F"/>
    <w:rsid w:val="60A95F42"/>
    <w:rsid w:val="60C15742"/>
    <w:rsid w:val="61DE0B0C"/>
    <w:rsid w:val="61FC43B0"/>
    <w:rsid w:val="621C65DF"/>
    <w:rsid w:val="62A414BE"/>
    <w:rsid w:val="62BE0BE3"/>
    <w:rsid w:val="63331BD4"/>
    <w:rsid w:val="64101675"/>
    <w:rsid w:val="66C46810"/>
    <w:rsid w:val="6864522D"/>
    <w:rsid w:val="6997170D"/>
    <w:rsid w:val="69F442FC"/>
    <w:rsid w:val="6B382163"/>
    <w:rsid w:val="6BB63417"/>
    <w:rsid w:val="6BC5588A"/>
    <w:rsid w:val="6BEE72A1"/>
    <w:rsid w:val="6C8F78FE"/>
    <w:rsid w:val="6D746C25"/>
    <w:rsid w:val="6E8435D3"/>
    <w:rsid w:val="6F8261BA"/>
    <w:rsid w:val="6FD02C5D"/>
    <w:rsid w:val="70036E0A"/>
    <w:rsid w:val="703C3F7E"/>
    <w:rsid w:val="70A21E4C"/>
    <w:rsid w:val="70A80239"/>
    <w:rsid w:val="730D09BA"/>
    <w:rsid w:val="7424789C"/>
    <w:rsid w:val="75401CB5"/>
    <w:rsid w:val="75C06F37"/>
    <w:rsid w:val="764855F1"/>
    <w:rsid w:val="76B72666"/>
    <w:rsid w:val="77002C7F"/>
    <w:rsid w:val="78103FA6"/>
    <w:rsid w:val="78C66AE9"/>
    <w:rsid w:val="79910EC7"/>
    <w:rsid w:val="79965353"/>
    <w:rsid w:val="7A032CC6"/>
    <w:rsid w:val="7A1F2191"/>
    <w:rsid w:val="7A3735BA"/>
    <w:rsid w:val="7AE05B76"/>
    <w:rsid w:val="7B5E37E6"/>
    <w:rsid w:val="7B6043B8"/>
    <w:rsid w:val="7C7A26D3"/>
    <w:rsid w:val="7CB876AC"/>
    <w:rsid w:val="7E266824"/>
    <w:rsid w:val="7E354873"/>
    <w:rsid w:val="7E91131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line="576" w:lineRule="auto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/>
      <w:sz w:val="30"/>
    </w:rPr>
  </w:style>
  <w:style w:type="paragraph" w:styleId="4">
    <w:name w:val="heading 3"/>
    <w:basedOn w:val="1"/>
    <w:next w:val="1"/>
    <w:link w:val="17"/>
    <w:unhideWhenUsed/>
    <w:qFormat/>
    <w:uiPriority w:val="0"/>
    <w:pPr>
      <w:keepNext/>
      <w:keepLines/>
      <w:spacing w:line="413" w:lineRule="auto"/>
      <w:outlineLvl w:val="2"/>
    </w:pPr>
    <w:rPr>
      <w:sz w:val="30"/>
    </w:rPr>
  </w:style>
  <w:style w:type="paragraph" w:styleId="5">
    <w:name w:val="heading 5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Style w:val="12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19"/>
    <w:unhideWhenUsed/>
    <w:uiPriority w:val="99"/>
    <w:rPr>
      <w:sz w:val="18"/>
      <w:szCs w:val="18"/>
    </w:rPr>
  </w:style>
  <w:style w:type="paragraph" w:styleId="8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Hyperlink"/>
    <w:unhideWhenUsed/>
    <w:uiPriority w:val="99"/>
    <w:rPr>
      <w:color w:val="0000FF"/>
      <w:u w:val="single"/>
    </w:rPr>
  </w:style>
  <w:style w:type="character" w:customStyle="1" w:styleId="15">
    <w:name w:val="标题 1 Char"/>
    <w:link w:val="2"/>
    <w:uiPriority w:val="0"/>
    <w:rPr>
      <w:rFonts w:ascii="Calibri" w:hAnsi="Calibri" w:eastAsia="宋体" w:cs="Times New Roman"/>
      <w:b/>
      <w:kern w:val="44"/>
      <w:sz w:val="36"/>
      <w:szCs w:val="24"/>
    </w:rPr>
  </w:style>
  <w:style w:type="character" w:customStyle="1" w:styleId="16">
    <w:name w:val="标题 2 Char"/>
    <w:link w:val="3"/>
    <w:uiPriority w:val="0"/>
    <w:rPr>
      <w:rFonts w:ascii="Arial" w:hAnsi="Arial" w:eastAsia="宋体" w:cs="Times New Roman"/>
      <w:sz w:val="30"/>
      <w:szCs w:val="24"/>
    </w:rPr>
  </w:style>
  <w:style w:type="character" w:customStyle="1" w:styleId="17">
    <w:name w:val="标题 3 Char"/>
    <w:link w:val="4"/>
    <w:uiPriority w:val="0"/>
    <w:rPr>
      <w:rFonts w:ascii="Calibri" w:hAnsi="Calibri" w:eastAsia="宋体" w:cs="Times New Roman"/>
      <w:sz w:val="30"/>
      <w:szCs w:val="24"/>
    </w:rPr>
  </w:style>
  <w:style w:type="character" w:customStyle="1" w:styleId="18">
    <w:name w:val="标题 5 Char"/>
    <w:link w:val="5"/>
    <w:semiHidden/>
    <w:uiPriority w:val="9"/>
    <w:rPr>
      <w:rFonts w:ascii="Calibri" w:hAnsi="Calibri" w:eastAsia="宋体" w:cs="Times New Roman"/>
      <w:b/>
      <w:bCs/>
      <w:sz w:val="28"/>
      <w:szCs w:val="28"/>
    </w:rPr>
  </w:style>
  <w:style w:type="character" w:customStyle="1" w:styleId="19">
    <w:name w:val="批注框文本 Char"/>
    <w:link w:val="7"/>
    <w:semiHidden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0">
    <w:name w:val="页脚 Char"/>
    <w:link w:val="8"/>
    <w:uiPriority w:val="99"/>
    <w:rPr>
      <w:kern w:val="2"/>
      <w:sz w:val="18"/>
      <w:szCs w:val="18"/>
    </w:rPr>
  </w:style>
  <w:style w:type="character" w:customStyle="1" w:styleId="21">
    <w:name w:val="页眉 Char"/>
    <w:link w:val="9"/>
    <w:uiPriority w:val="99"/>
    <w:rPr>
      <w:kern w:val="2"/>
      <w:sz w:val="18"/>
      <w:szCs w:val="18"/>
    </w:rPr>
  </w:style>
  <w:style w:type="paragraph" w:styleId="22">
    <w:name w:val="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 w:cs="Times New Roman"/>
      <w:bCs/>
      <w:color w:val="365F91"/>
      <w:kern w:val="0"/>
      <w:sz w:val="28"/>
      <w:szCs w:val="28"/>
    </w:rPr>
  </w:style>
  <w:style w:type="paragraph" w:customStyle="1" w:styleId="23">
    <w:name w:val="列出段落1"/>
    <w:basedOn w:val="1"/>
    <w:qFormat/>
    <w:uiPriority w:val="34"/>
    <w:pPr>
      <w:ind w:firstLine="420" w:firstLineChars="200"/>
    </w:pPr>
  </w:style>
  <w:style w:type="paragraph" w:customStyle="1" w:styleId="24">
    <w:name w:val="标题5"/>
    <w:basedOn w:val="5"/>
    <w:qFormat/>
    <w:uiPriority w:val="0"/>
    <w:pPr>
      <w:spacing w:before="0" w:after="0" w:line="372" w:lineRule="auto"/>
    </w:pPr>
    <w:rPr>
      <w:b w:val="0"/>
      <w:bCs w:val="0"/>
      <w:sz w:val="21"/>
      <w:szCs w:val="24"/>
    </w:rPr>
  </w:style>
  <w:style w:type="paragraph" w:customStyle="1" w:styleId="25">
    <w:name w:val="_Style 2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="Cambria" w:hAnsi="Cambria" w:eastAsia="宋体" w:cs="Times New Roman"/>
      <w:bCs/>
      <w:color w:val="365F91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1383</Words>
  <Characters>1394</Characters>
  <Lines>17</Lines>
  <Paragraphs>5</Paragraphs>
  <TotalTime>2</TotalTime>
  <ScaleCrop>false</ScaleCrop>
  <LinksUpToDate>false</LinksUpToDate>
  <CharactersWithSpaces>1418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2017-04-17T07:47:00Z</dcterms:created>
  <dc:creator>Administrator</dc:creator>
  <cp:lastModifiedBy>J_boy</cp:lastModifiedBy>
  <dcterms:modified xsi:type="dcterms:W3CDTF">2024-08-07T02:18:36Z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EB71AD297E2244F897A2916E14941535_13</vt:lpwstr>
  </property>
</Properties>
</file>